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926" w:rsidRDefault="00A52926" w:rsidP="001A256E">
      <w:pPr>
        <w:jc w:val="center"/>
      </w:pPr>
      <w:bookmarkStart w:id="0" w:name="_GoBack"/>
      <w:bookmarkEnd w:id="0"/>
      <w:r>
        <w:t>健　康　診　断　書</w:t>
      </w:r>
    </w:p>
    <w:p w:rsidR="00A52926" w:rsidRDefault="00A52926"/>
    <w:tbl>
      <w:tblPr>
        <w:tblW w:w="0" w:type="auto"/>
        <w:tblInd w:w="173" w:type="dxa"/>
        <w:tblLayout w:type="fixed"/>
        <w:tblCellMar>
          <w:left w:w="0" w:type="dxa"/>
          <w:right w:w="0" w:type="dxa"/>
        </w:tblCellMar>
        <w:tblLook w:val="0000" w:firstRow="0" w:lastRow="0" w:firstColumn="0" w:lastColumn="0" w:noHBand="0" w:noVBand="0"/>
      </w:tblPr>
      <w:tblGrid>
        <w:gridCol w:w="1488"/>
        <w:gridCol w:w="2480"/>
        <w:gridCol w:w="2480"/>
        <w:gridCol w:w="992"/>
        <w:gridCol w:w="1240"/>
      </w:tblGrid>
      <w:tr w:rsidR="00A52926">
        <w:tblPrEx>
          <w:tblCellMar>
            <w:top w:w="0" w:type="dxa"/>
            <w:left w:w="0" w:type="dxa"/>
            <w:bottom w:w="0" w:type="dxa"/>
            <w:right w:w="0" w:type="dxa"/>
          </w:tblCellMar>
        </w:tblPrEx>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Pr>
              <w:jc w:val="center"/>
            </w:pPr>
          </w:p>
          <w:p w:rsidR="00A52926" w:rsidRDefault="00A52926">
            <w:pPr>
              <w:jc w:val="center"/>
            </w:pPr>
            <w:r>
              <w:t>氏　名</w:t>
            </w:r>
          </w:p>
          <w:p w:rsidR="00A52926" w:rsidRDefault="00A52926">
            <w:pPr>
              <w:jc w:val="center"/>
            </w:pPr>
          </w:p>
        </w:tc>
        <w:tc>
          <w:tcPr>
            <w:tcW w:w="4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 w:rsidR="00A52926" w:rsidRDefault="00A52926"/>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t>性別</w:t>
            </w:r>
          </w:p>
          <w:p w:rsidR="00A52926" w:rsidRDefault="00A52926"/>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t>男</w:t>
            </w:r>
            <w:r>
              <w:rPr>
                <w:spacing w:val="-2"/>
              </w:rPr>
              <w:t xml:space="preserve">  </w:t>
            </w:r>
            <w:r>
              <w:t>女</w:t>
            </w:r>
          </w:p>
          <w:p w:rsidR="00A52926" w:rsidRDefault="00A52926"/>
        </w:tc>
      </w:tr>
      <w:tr w:rsidR="005703A5" w:rsidTr="00AE4549">
        <w:tblPrEx>
          <w:tblCellMar>
            <w:top w:w="0" w:type="dxa"/>
            <w:left w:w="0" w:type="dxa"/>
            <w:bottom w:w="0" w:type="dxa"/>
            <w:right w:w="0" w:type="dxa"/>
          </w:tblCellMar>
        </w:tblPrEx>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03A5" w:rsidRDefault="005703A5"/>
          <w:p w:rsidR="005703A5" w:rsidRDefault="005703A5">
            <w:pPr>
              <w:jc w:val="center"/>
            </w:pPr>
            <w:r>
              <w:t>生年月日</w:t>
            </w:r>
          </w:p>
          <w:p w:rsidR="005703A5" w:rsidRDefault="005703A5"/>
        </w:tc>
        <w:tc>
          <w:tcPr>
            <w:tcW w:w="4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03A5" w:rsidRDefault="005703A5">
            <w:r>
              <w:t xml:space="preserve">　</w:t>
            </w:r>
          </w:p>
          <w:p w:rsidR="005703A5" w:rsidRDefault="005703A5">
            <w:r>
              <w:t xml:space="preserve">　　　　</w:t>
            </w:r>
            <w:r w:rsidR="008370D2">
              <w:rPr>
                <w:rFonts w:hint="default"/>
              </w:rPr>
              <w:t xml:space="preserve">　　　　　</w:t>
            </w:r>
            <w:r>
              <w:t>年　　月　　日</w:t>
            </w:r>
          </w:p>
          <w:p w:rsidR="005703A5" w:rsidRDefault="005703A5"/>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03A5" w:rsidRDefault="005703A5"/>
          <w:p w:rsidR="005703A5" w:rsidRDefault="005703A5">
            <w:pPr>
              <w:jc w:val="center"/>
            </w:pPr>
            <w:r>
              <w:t>年齢</w:t>
            </w:r>
          </w:p>
          <w:p w:rsidR="005703A5" w:rsidRDefault="005703A5"/>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03A5" w:rsidRDefault="005703A5"/>
          <w:p w:rsidR="005703A5" w:rsidRDefault="005703A5"/>
          <w:p w:rsidR="005703A5" w:rsidRDefault="005703A5"/>
        </w:tc>
      </w:tr>
      <w:tr w:rsidR="00A52926">
        <w:tblPrEx>
          <w:tblCellMar>
            <w:top w:w="0" w:type="dxa"/>
            <w:left w:w="0" w:type="dxa"/>
            <w:bottom w:w="0" w:type="dxa"/>
            <w:right w:w="0" w:type="dxa"/>
          </w:tblCellMar>
        </w:tblPrEx>
        <w:tc>
          <w:tcPr>
            <w:tcW w:w="8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r>
              <w:t>上記の者については、下記のとおり診断します。</w:t>
            </w:r>
          </w:p>
          <w:p w:rsidR="00A52926" w:rsidRDefault="00A52926"/>
          <w:p w:rsidR="00A52926" w:rsidRDefault="00A52926">
            <w:r>
              <w:t>１．精神機能</w:t>
            </w:r>
          </w:p>
          <w:p w:rsidR="00A52926" w:rsidRDefault="00A52926">
            <w:r>
              <w:t xml:space="preserve">　　　精神機能の障害</w:t>
            </w:r>
          </w:p>
          <w:p w:rsidR="00A52926" w:rsidRDefault="00A52926">
            <w:r>
              <w:t xml:space="preserve">　　　　　　□なし</w:t>
            </w:r>
            <w:r>
              <w:rPr>
                <w:spacing w:val="-2"/>
              </w:rPr>
              <w:t xml:space="preserve">              </w:t>
            </w:r>
            <w:r>
              <w:t>□あり</w:t>
            </w:r>
          </w:p>
          <w:p w:rsidR="00A52926" w:rsidRDefault="00A52926">
            <w:r>
              <w:t xml:space="preserve">　　※「あり」に該当する場合には、①病名、②現に受けている治療の内容　　　及び③治療を受けている状態であれば、精神機能の障害がない者と同　　　等の精神機能であるか否か、を記載すること。</w:t>
            </w:r>
          </w:p>
          <w:p w:rsidR="00A52926" w:rsidRDefault="00A52926"/>
          <w:p w:rsidR="00A52926" w:rsidRDefault="00A52926"/>
          <w:p w:rsidR="00A52926" w:rsidRDefault="00A52926"/>
          <w:p w:rsidR="00A52926" w:rsidRDefault="00A52926"/>
          <w:p w:rsidR="00A52926" w:rsidRDefault="00A52926">
            <w:r>
              <w:t>※詳細については、別紙も可。</w:t>
            </w:r>
          </w:p>
          <w:p w:rsidR="00A52926" w:rsidRDefault="00A52926"/>
        </w:tc>
      </w:tr>
      <w:tr w:rsidR="00A52926">
        <w:tblPrEx>
          <w:tblCellMar>
            <w:top w:w="0" w:type="dxa"/>
            <w:left w:w="0" w:type="dxa"/>
            <w:bottom w:w="0" w:type="dxa"/>
            <w:right w:w="0" w:type="dxa"/>
          </w:tblCellMar>
        </w:tblPrEx>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t>診断年月日</w:t>
            </w:r>
          </w:p>
          <w:p w:rsidR="00A52926" w:rsidRDefault="00A52926"/>
        </w:tc>
        <w:tc>
          <w:tcPr>
            <w:tcW w:w="71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5703A5">
            <w:r>
              <w:t xml:space="preserve">　　　</w:t>
            </w:r>
            <w:r>
              <w:rPr>
                <w:rFonts w:hint="default"/>
              </w:rPr>
              <w:t xml:space="preserve">　</w:t>
            </w:r>
            <w:r w:rsidR="00A52926">
              <w:t xml:space="preserve">　　　年　　　月　　　日</w:t>
            </w:r>
          </w:p>
          <w:p w:rsidR="00A52926" w:rsidRDefault="00A52926"/>
        </w:tc>
      </w:tr>
      <w:tr w:rsidR="00A52926">
        <w:tblPrEx>
          <w:tblCellMar>
            <w:top w:w="0" w:type="dxa"/>
            <w:left w:w="0" w:type="dxa"/>
            <w:bottom w:w="0" w:type="dxa"/>
            <w:right w:w="0" w:type="dxa"/>
          </w:tblCellMar>
        </w:tblPrEx>
        <w:tc>
          <w:tcPr>
            <w:tcW w:w="1488" w:type="dxa"/>
            <w:vMerge w:val="restart"/>
            <w:tcBorders>
              <w:top w:val="single" w:sz="4" w:space="0" w:color="000000"/>
              <w:left w:val="single" w:sz="4" w:space="0" w:color="000000"/>
              <w:bottom w:val="nil"/>
              <w:right w:val="single" w:sz="4" w:space="0" w:color="000000"/>
            </w:tcBorders>
            <w:tcMar>
              <w:left w:w="49" w:type="dxa"/>
              <w:right w:w="49" w:type="dxa"/>
            </w:tcMar>
          </w:tcPr>
          <w:p w:rsidR="00A52926" w:rsidRDefault="00A52926"/>
          <w:p w:rsidR="00A52926" w:rsidRDefault="00A52926"/>
          <w:p w:rsidR="00A52926" w:rsidRDefault="00A52926"/>
          <w:p w:rsidR="00A52926" w:rsidRDefault="00A52926">
            <w:pPr>
              <w:jc w:val="center"/>
            </w:pPr>
            <w:r>
              <w:t>医　師</w:t>
            </w:r>
          </w:p>
          <w:p w:rsidR="00A52926" w:rsidRDefault="00A52926"/>
          <w:p w:rsidR="00A52926" w:rsidRDefault="00A52926"/>
          <w:p w:rsidR="00A52926" w:rsidRDefault="00A52926"/>
          <w:p w:rsidR="00A52926" w:rsidRDefault="00A52926"/>
          <w:p w:rsidR="00A52926" w:rsidRDefault="00A52926"/>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rPr>
                <w:w w:val="90"/>
                <w:sz w:val="22"/>
              </w:rPr>
              <w:t>病院、診療所等の名称</w:t>
            </w:r>
          </w:p>
          <w:p w:rsidR="00A52926" w:rsidRDefault="00A52926"/>
        </w:tc>
        <w:tc>
          <w:tcPr>
            <w:tcW w:w="4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 w:rsidR="00A52926" w:rsidRDefault="00A52926"/>
        </w:tc>
      </w:tr>
      <w:tr w:rsidR="00A52926">
        <w:tblPrEx>
          <w:tblCellMar>
            <w:top w:w="0" w:type="dxa"/>
            <w:left w:w="0" w:type="dxa"/>
            <w:bottom w:w="0" w:type="dxa"/>
            <w:right w:w="0" w:type="dxa"/>
          </w:tblCellMar>
        </w:tblPrEx>
        <w:tc>
          <w:tcPr>
            <w:tcW w:w="1488" w:type="dxa"/>
            <w:vMerge/>
            <w:tcBorders>
              <w:top w:val="nil"/>
              <w:left w:val="single" w:sz="4" w:space="0" w:color="000000"/>
              <w:bottom w:val="nil"/>
              <w:right w:val="single" w:sz="4" w:space="0" w:color="000000"/>
            </w:tcBorders>
            <w:tcMar>
              <w:left w:w="49" w:type="dxa"/>
              <w:right w:w="49" w:type="dxa"/>
            </w:tcMar>
          </w:tcPr>
          <w:p w:rsidR="00A52926" w:rsidRDefault="00A52926"/>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t>所在地</w:t>
            </w:r>
          </w:p>
          <w:p w:rsidR="00A52926" w:rsidRDefault="00A52926"/>
        </w:tc>
        <w:tc>
          <w:tcPr>
            <w:tcW w:w="4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r>
              <w:rPr>
                <w:spacing w:val="-2"/>
              </w:rPr>
              <w:t xml:space="preserve">         </w:t>
            </w:r>
            <w:r>
              <w:t xml:space="preserve">　　</w:t>
            </w:r>
            <w:r>
              <w:rPr>
                <w:spacing w:val="-2"/>
              </w:rPr>
              <w:t xml:space="preserve">  </w:t>
            </w:r>
          </w:p>
          <w:p w:rsidR="00A52926" w:rsidRDefault="00A52926">
            <w:r>
              <w:t xml:space="preserve">　　　　</w:t>
            </w:r>
          </w:p>
          <w:p w:rsidR="00A52926" w:rsidRDefault="00A52926">
            <w:r>
              <w:t xml:space="preserve">　　　　　</w:t>
            </w:r>
            <w:r>
              <w:t>TEL</w:t>
            </w:r>
          </w:p>
        </w:tc>
      </w:tr>
      <w:tr w:rsidR="00A52926">
        <w:tblPrEx>
          <w:tblCellMar>
            <w:top w:w="0" w:type="dxa"/>
            <w:left w:w="0" w:type="dxa"/>
            <w:bottom w:w="0" w:type="dxa"/>
            <w:right w:w="0" w:type="dxa"/>
          </w:tblCellMar>
        </w:tblPrEx>
        <w:tc>
          <w:tcPr>
            <w:tcW w:w="1488" w:type="dxa"/>
            <w:vMerge/>
            <w:tcBorders>
              <w:top w:val="nil"/>
              <w:left w:val="single" w:sz="4" w:space="0" w:color="000000"/>
              <w:bottom w:val="single" w:sz="4" w:space="0" w:color="000000"/>
              <w:right w:val="single" w:sz="4" w:space="0" w:color="000000"/>
            </w:tcBorders>
            <w:tcMar>
              <w:left w:w="49" w:type="dxa"/>
              <w:right w:w="49" w:type="dxa"/>
            </w:tcMar>
          </w:tcPr>
          <w:p w:rsidR="00A52926" w:rsidRDefault="00A52926"/>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p w:rsidR="00A52926" w:rsidRDefault="00A52926">
            <w:pPr>
              <w:jc w:val="center"/>
            </w:pPr>
            <w:r>
              <w:t>氏名</w:t>
            </w:r>
          </w:p>
          <w:p w:rsidR="00A52926" w:rsidRDefault="00A52926"/>
        </w:tc>
        <w:tc>
          <w:tcPr>
            <w:tcW w:w="47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926" w:rsidRDefault="00A52926">
            <w:r>
              <w:rPr>
                <w:spacing w:val="-2"/>
              </w:rPr>
              <w:t xml:space="preserve">                                </w:t>
            </w:r>
          </w:p>
          <w:p w:rsidR="00A52926" w:rsidRDefault="00A52926">
            <w:r>
              <w:t xml:space="preserve">　　　　　　　　　　　　　　　印</w:t>
            </w:r>
          </w:p>
          <w:p w:rsidR="00A52926" w:rsidRDefault="00A52926"/>
        </w:tc>
      </w:tr>
    </w:tbl>
    <w:p w:rsidR="005703A5" w:rsidRDefault="005703A5">
      <w:pPr>
        <w:rPr>
          <w:rFonts w:hint="default"/>
        </w:rPr>
      </w:pPr>
      <w:r>
        <w:t xml:space="preserve"> </w:t>
      </w:r>
      <w:r>
        <w:t>※</w:t>
      </w:r>
      <w:r>
        <w:rPr>
          <w:rFonts w:hint="default"/>
        </w:rPr>
        <w:t>裏面もご確認</w:t>
      </w:r>
      <w:r>
        <w:t>ください。</w:t>
      </w:r>
    </w:p>
    <w:p w:rsidR="005703A5" w:rsidRDefault="005703A5">
      <w:pPr>
        <w:rPr>
          <w:rFonts w:hint="default"/>
        </w:rPr>
      </w:pPr>
    </w:p>
    <w:p w:rsidR="005703A5" w:rsidRPr="00AE4549" w:rsidRDefault="005703A5" w:rsidP="005703A5">
      <w:pPr>
        <w:autoSpaceDE w:val="0"/>
        <w:autoSpaceDN w:val="0"/>
        <w:adjustRightInd w:val="0"/>
        <w:spacing w:line="320" w:lineRule="exact"/>
        <w:jc w:val="left"/>
        <w:rPr>
          <w:rFonts w:ascii="ＭＳ 明朝" w:hAnsi="ＭＳ 明朝" w:cs="ＭＳゴシック"/>
          <w:szCs w:val="21"/>
          <w:u w:color="FF0000"/>
        </w:rPr>
      </w:pPr>
      <w:r w:rsidRPr="00AE4549">
        <w:rPr>
          <w:rFonts w:ascii="ＭＳ 明朝" w:hAnsi="ＭＳ 明朝" w:cs="ＭＳゴシック"/>
          <w:szCs w:val="21"/>
          <w:u w:color="FF0000"/>
        </w:rPr>
        <w:lastRenderedPageBreak/>
        <w:t>健康診断書の作成に当たっては、通訳案内士法に規定する業務内容等に十分留意すること。</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r w:rsidRPr="00AE4549">
        <w:rPr>
          <w:rFonts w:ascii="ＭＳ 明朝" w:hAnsi="ＭＳ 明朝" w:cs="俵俽僑僔僢僋"/>
          <w:szCs w:val="21"/>
          <w:u w:color="FF0000"/>
        </w:rPr>
        <w:t>○通訳案内士法（昭和二十四年法律第二百十号）（抄）</w:t>
      </w:r>
    </w:p>
    <w:p w:rsidR="005703A5" w:rsidRPr="00AE4549" w:rsidRDefault="005703A5" w:rsidP="005703A5">
      <w:pPr>
        <w:autoSpaceDE w:val="0"/>
        <w:autoSpaceDN w:val="0"/>
        <w:adjustRightInd w:val="0"/>
        <w:spacing w:line="320" w:lineRule="exact"/>
        <w:ind w:firstLineChars="200" w:firstLine="504"/>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200" w:firstLine="504"/>
        <w:jc w:val="left"/>
        <w:rPr>
          <w:rFonts w:ascii="ＭＳ 明朝" w:hAnsi="ＭＳ 明朝" w:cs="俵俽僑僔僢僋"/>
          <w:szCs w:val="21"/>
          <w:u w:color="FF0000"/>
        </w:rPr>
      </w:pPr>
      <w:r w:rsidRPr="00AE4549">
        <w:rPr>
          <w:rFonts w:ascii="ＭＳ 明朝" w:hAnsi="ＭＳ 明朝" w:cs="俵俽僑僔僢僋"/>
          <w:szCs w:val="21"/>
          <w:u w:color="FF0000"/>
        </w:rPr>
        <w:t>第一章</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総則</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（業務）</w:t>
      </w:r>
    </w:p>
    <w:p w:rsidR="005703A5" w:rsidRPr="00AE4549" w:rsidRDefault="005703A5" w:rsidP="005703A5">
      <w:pPr>
        <w:autoSpaceDE w:val="0"/>
        <w:autoSpaceDN w:val="0"/>
        <w:adjustRightInd w:val="0"/>
        <w:spacing w:line="320" w:lineRule="exact"/>
        <w:ind w:left="252" w:hangingChars="100" w:hanging="252"/>
        <w:jc w:val="left"/>
        <w:rPr>
          <w:rFonts w:ascii="ＭＳ 明朝" w:hAnsi="ＭＳ 明朝" w:cs="俵俽僑僔僢僋"/>
          <w:szCs w:val="21"/>
          <w:u w:color="FF0000"/>
        </w:rPr>
      </w:pPr>
      <w:r w:rsidRPr="00AE4549">
        <w:rPr>
          <w:rFonts w:ascii="ＭＳ 明朝" w:hAnsi="ＭＳ 明朝" w:cs="俵俽僑僔僢僋"/>
          <w:szCs w:val="21"/>
          <w:u w:color="FF0000"/>
        </w:rPr>
        <w:t>第二条　全国通訳案内士は、報酬を得て、通訳案内（外国人に付き添い、外国語を用いて、旅行に関する案内をすることをいう。以下同じ。）を行うことを業とする。</w:t>
      </w:r>
    </w:p>
    <w:p w:rsidR="005703A5" w:rsidRPr="00AE4549" w:rsidRDefault="005703A5" w:rsidP="005703A5">
      <w:pPr>
        <w:autoSpaceDE w:val="0"/>
        <w:autoSpaceDN w:val="0"/>
        <w:adjustRightInd w:val="0"/>
        <w:spacing w:line="320" w:lineRule="exact"/>
        <w:ind w:left="252" w:hangingChars="100" w:hanging="252"/>
        <w:jc w:val="left"/>
        <w:rPr>
          <w:rFonts w:ascii="ＭＳ 明朝" w:hAnsi="ＭＳ 明朝" w:cs="俵俽僑僔僢僋"/>
          <w:szCs w:val="21"/>
          <w:u w:color="FF0000"/>
        </w:rPr>
      </w:pPr>
      <w:r w:rsidRPr="00AE4549">
        <w:rPr>
          <w:rFonts w:ascii="ＭＳ 明朝" w:hAnsi="ＭＳ 明朝" w:cs="俵俽僑僔僢僋"/>
          <w:szCs w:val="21"/>
          <w:u w:color="FF0000"/>
        </w:rPr>
        <w:t>２　地域通訳案内士は、その資格を得た第五十四条第二項第一号に規定する地域通訳案内士業務区域において、報酬を得て、通訳案内を行うことを業とする。</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200" w:firstLine="504"/>
        <w:jc w:val="left"/>
        <w:rPr>
          <w:rFonts w:ascii="ＭＳ 明朝" w:hAnsi="ＭＳ 明朝" w:cs="俵俽僑僔僢僋"/>
          <w:szCs w:val="21"/>
          <w:u w:color="FF0000"/>
        </w:rPr>
      </w:pPr>
      <w:r w:rsidRPr="00AE4549">
        <w:rPr>
          <w:rFonts w:ascii="ＭＳ 明朝" w:hAnsi="ＭＳ 明朝" w:cs="俵俽僑僔僢僋"/>
          <w:szCs w:val="21"/>
          <w:u w:color="FF0000"/>
        </w:rPr>
        <w:t>第二章</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全国通訳案内士</w:t>
      </w: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第三節</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全国通訳案内士の登録</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（登録の拒否）</w:t>
      </w:r>
    </w:p>
    <w:p w:rsidR="005703A5" w:rsidRPr="00AE4549" w:rsidRDefault="005703A5" w:rsidP="005703A5">
      <w:pPr>
        <w:autoSpaceDE w:val="0"/>
        <w:autoSpaceDN w:val="0"/>
        <w:adjustRightInd w:val="0"/>
        <w:spacing w:line="320" w:lineRule="exact"/>
        <w:ind w:left="252" w:hangingChars="100" w:hanging="252"/>
        <w:jc w:val="left"/>
        <w:rPr>
          <w:rFonts w:ascii="ＭＳ 明朝" w:hAnsi="ＭＳ 明朝" w:cs="俵俽僑僔僢僋"/>
          <w:szCs w:val="21"/>
          <w:u w:color="FF0000"/>
        </w:rPr>
      </w:pPr>
      <w:r w:rsidRPr="00AE4549">
        <w:rPr>
          <w:rFonts w:ascii="ＭＳ 明朝" w:hAnsi="ＭＳ 明朝" w:cs="俵俽僑僔僢僋"/>
          <w:szCs w:val="21"/>
          <w:u w:color="FF0000"/>
        </w:rPr>
        <w:t>第二十一条　都道府県知事は、前条第一項の規定による登録の申請をした者（以下「申請者」という。）が全国通訳案内士となる資格を有せず、又は心身の障害により全国通訳案内士の業務を適正に行うことができない者として国土交通省令で定めるもの（※）に該当すると認めたときは、その登録を拒否しなければならない。</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r w:rsidRPr="00AE4549">
        <w:rPr>
          <w:rFonts w:ascii="ＭＳ 明朝" w:hAnsi="ＭＳ 明朝" w:cs="俵俽僑僔僢僋"/>
          <w:szCs w:val="21"/>
          <w:u w:color="FF0000"/>
        </w:rPr>
        <w:t>２</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（略）</w:t>
      </w:r>
    </w:p>
    <w:p w:rsidR="005703A5" w:rsidRPr="00AE4549" w:rsidRDefault="005703A5" w:rsidP="005703A5">
      <w:pPr>
        <w:autoSpaceDE w:val="0"/>
        <w:autoSpaceDN w:val="0"/>
        <w:adjustRightInd w:val="0"/>
        <w:spacing w:line="320" w:lineRule="exact"/>
        <w:jc w:val="left"/>
        <w:rPr>
          <w:rFonts w:ascii="ＭＳ 明朝" w:hAnsi="ＭＳ 明朝" w:cs="俵俽僑僔僢僋"/>
          <w:sz w:val="18"/>
          <w:szCs w:val="18"/>
          <w:u w:color="FF0000"/>
        </w:rPr>
      </w:pPr>
    </w:p>
    <w:p w:rsidR="005703A5" w:rsidRPr="00AE4549" w:rsidRDefault="005703A5" w:rsidP="005703A5">
      <w:pPr>
        <w:autoSpaceDE w:val="0"/>
        <w:autoSpaceDN w:val="0"/>
        <w:adjustRightInd w:val="0"/>
        <w:spacing w:line="320" w:lineRule="exact"/>
        <w:ind w:left="2688" w:hangingChars="1400" w:hanging="2688"/>
        <w:jc w:val="left"/>
        <w:rPr>
          <w:rFonts w:ascii="ＭＳ 明朝" w:hAnsi="ＭＳ 明朝" w:cs="俵俽僑僔僢僋"/>
          <w:sz w:val="18"/>
          <w:szCs w:val="18"/>
          <w:u w:color="FF0000"/>
        </w:rPr>
      </w:pPr>
      <w:r w:rsidRPr="00AE4549">
        <w:rPr>
          <w:rFonts w:ascii="ＭＳ 明朝" w:hAnsi="ＭＳ 明朝" w:cs="俵俽僑僔僢僋"/>
          <w:sz w:val="18"/>
          <w:szCs w:val="18"/>
          <w:u w:color="FF0000"/>
        </w:rPr>
        <w:t>※国土交通省令で定めるもの：精神の機能の障害により通訳案内の業務を適正に行うに当たって必要な認知、判断及び意思疎通を適切に行うことができない者（現に受けている治療等により今後障害の程度が軽減すると見込まれるものを除く。）</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200" w:firstLine="504"/>
        <w:jc w:val="left"/>
        <w:rPr>
          <w:rFonts w:ascii="ＭＳ 明朝" w:hAnsi="ＭＳ 明朝" w:cs="俵俽僑僔僢僋"/>
          <w:szCs w:val="21"/>
          <w:u w:color="FF0000"/>
        </w:rPr>
      </w:pPr>
      <w:r w:rsidRPr="00AE4549">
        <w:rPr>
          <w:rFonts w:ascii="ＭＳ 明朝" w:hAnsi="ＭＳ 明朝" w:cs="俵俽僑僔僢僋"/>
          <w:szCs w:val="21"/>
          <w:u w:color="FF0000"/>
        </w:rPr>
        <w:t>第三章　地域通訳案内士</w:t>
      </w: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第一節　地域通訳案内士育成等基本指針等</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r w:rsidRPr="00AE4549">
        <w:rPr>
          <w:rFonts w:ascii="ＭＳ 明朝" w:hAnsi="ＭＳ 明朝" w:cs="俵俽僑僔僢僋"/>
          <w:szCs w:val="21"/>
          <w:u w:color="FF0000"/>
        </w:rPr>
        <w:t>第五十四条</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（略）</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r w:rsidRPr="00AE4549">
        <w:rPr>
          <w:rFonts w:ascii="ＭＳ 明朝" w:hAnsi="ＭＳ 明朝" w:cs="俵俽僑僔僢僋"/>
          <w:szCs w:val="21"/>
          <w:u w:color="FF0000"/>
        </w:rPr>
        <w:t>２</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（略）</w:t>
      </w:r>
    </w:p>
    <w:p w:rsidR="005703A5" w:rsidRPr="00AE4549" w:rsidRDefault="005703A5" w:rsidP="005703A5">
      <w:pPr>
        <w:autoSpaceDE w:val="0"/>
        <w:autoSpaceDN w:val="0"/>
        <w:adjustRightInd w:val="0"/>
        <w:spacing w:line="320" w:lineRule="exact"/>
        <w:ind w:leftChars="100" w:left="504" w:hangingChars="100" w:hanging="252"/>
        <w:jc w:val="left"/>
        <w:rPr>
          <w:rFonts w:ascii="ＭＳ 明朝" w:hAnsi="ＭＳ 明朝" w:cs="俵俽僑僔僢僋"/>
          <w:szCs w:val="21"/>
          <w:u w:color="FF0000"/>
        </w:rPr>
      </w:pPr>
      <w:r w:rsidRPr="00AE4549">
        <w:rPr>
          <w:rFonts w:ascii="ＭＳ 明朝" w:hAnsi="ＭＳ 明朝" w:cs="俵俽僑僔僢僋"/>
          <w:szCs w:val="21"/>
          <w:u w:color="FF0000"/>
        </w:rPr>
        <w:t>一</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地域通訳案内士にその業務を行わせる区域（以下「地域通訳案内士業務区域」という。）</w:t>
      </w: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二～四</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（略）</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r w:rsidRPr="00AE4549">
        <w:rPr>
          <w:rFonts w:ascii="ＭＳ 明朝" w:hAnsi="ＭＳ 明朝" w:cs="俵俽僑僔僢僋"/>
          <w:szCs w:val="21"/>
          <w:u w:color="FF0000"/>
        </w:rPr>
        <w:t>３～６</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（略）</w:t>
      </w:r>
    </w:p>
    <w:p w:rsidR="005703A5" w:rsidRPr="00AE4549" w:rsidRDefault="005703A5" w:rsidP="005703A5">
      <w:pPr>
        <w:autoSpaceDE w:val="0"/>
        <w:autoSpaceDN w:val="0"/>
        <w:adjustRightInd w:val="0"/>
        <w:spacing w:line="320" w:lineRule="exact"/>
        <w:jc w:val="left"/>
        <w:rPr>
          <w:rFonts w:ascii="ＭＳ 明朝" w:hAnsi="ＭＳ 明朝" w:cs="俵俽僑僔僢僋"/>
          <w:szCs w:val="21"/>
          <w:u w:color="FF0000"/>
        </w:rPr>
      </w:pPr>
    </w:p>
    <w:p w:rsidR="005703A5" w:rsidRPr="00AE4549" w:rsidRDefault="005703A5" w:rsidP="005703A5">
      <w:pPr>
        <w:autoSpaceDE w:val="0"/>
        <w:autoSpaceDN w:val="0"/>
        <w:adjustRightInd w:val="0"/>
        <w:spacing w:line="320" w:lineRule="exact"/>
        <w:ind w:firstLineChars="100" w:firstLine="252"/>
        <w:jc w:val="left"/>
        <w:rPr>
          <w:rFonts w:ascii="ＭＳ 明朝" w:hAnsi="ＭＳ 明朝" w:cs="俵俽僑僔僢僋"/>
          <w:szCs w:val="21"/>
          <w:u w:color="FF0000"/>
        </w:rPr>
      </w:pPr>
      <w:r w:rsidRPr="00AE4549">
        <w:rPr>
          <w:rFonts w:ascii="ＭＳ 明朝" w:hAnsi="ＭＳ 明朝" w:cs="俵俽僑僔僢僋"/>
          <w:szCs w:val="21"/>
          <w:u w:color="FF0000"/>
        </w:rPr>
        <w:t>第三節</w:t>
      </w:r>
      <w:r w:rsidRPr="00AE4549">
        <w:rPr>
          <w:rFonts w:ascii="ＭＳ 明朝" w:hAnsi="ＭＳ 明朝" w:cs="俵俽僑僔僢僋"/>
          <w:szCs w:val="21"/>
          <w:u w:color="FF0000"/>
        </w:rPr>
        <w:t xml:space="preserve"> </w:t>
      </w:r>
      <w:r w:rsidRPr="00AE4549">
        <w:rPr>
          <w:rFonts w:ascii="ＭＳ 明朝" w:hAnsi="ＭＳ 明朝" w:cs="俵俽僑僔僢僋"/>
          <w:szCs w:val="21"/>
          <w:u w:color="FF0000"/>
        </w:rPr>
        <w:t>地域通訳案内士の登録</w:t>
      </w:r>
    </w:p>
    <w:p w:rsidR="005703A5" w:rsidRPr="00AE4549" w:rsidRDefault="005703A5" w:rsidP="005703A5">
      <w:pPr>
        <w:spacing w:line="320" w:lineRule="exact"/>
        <w:rPr>
          <w:rFonts w:ascii="ＭＳ 明朝" w:hAnsi="ＭＳ 明朝" w:cs="俵俽僑僔僢僋" w:hint="default"/>
          <w:szCs w:val="21"/>
          <w:u w:color="FF0000"/>
        </w:rPr>
      </w:pPr>
    </w:p>
    <w:p w:rsidR="005703A5" w:rsidRPr="00AE4549" w:rsidRDefault="005703A5" w:rsidP="005703A5">
      <w:pPr>
        <w:spacing w:line="320" w:lineRule="exact"/>
        <w:ind w:left="252" w:hangingChars="100" w:hanging="252"/>
        <w:rPr>
          <w:rFonts w:ascii="ＭＳ 明朝" w:hAnsi="ＭＳ 明朝" w:cs="俵俽僑僔僢僋"/>
          <w:szCs w:val="21"/>
        </w:rPr>
      </w:pPr>
      <w:r w:rsidRPr="00AE4549">
        <w:rPr>
          <w:rFonts w:ascii="ＭＳ 明朝" w:hAnsi="ＭＳ 明朝" w:cs="俵俽僑僔僢僋"/>
          <w:szCs w:val="21"/>
        </w:rPr>
        <w:t>第五十七条</w:t>
      </w:r>
      <w:r w:rsidRPr="00AE4549">
        <w:rPr>
          <w:rFonts w:ascii="ＭＳ 明朝" w:hAnsi="ＭＳ 明朝" w:cs="俵俽僑僔僢僋"/>
          <w:szCs w:val="21"/>
        </w:rPr>
        <w:t xml:space="preserve"> </w:t>
      </w:r>
      <w:r w:rsidRPr="00AE4549">
        <w:rPr>
          <w:rFonts w:ascii="ＭＳ 明朝" w:hAnsi="ＭＳ 明朝" w:cs="俵俽僑僔僢僋"/>
          <w:szCs w:val="21"/>
        </w:rPr>
        <w:t>前章第三節の規定は、地域通訳案内士の登録について準用する。（以下略）</w:t>
      </w:r>
    </w:p>
    <w:sectPr w:rsidR="005703A5" w:rsidRPr="00AE4549">
      <w:footnotePr>
        <w:numRestart w:val="eachPage"/>
      </w:footnotePr>
      <w:endnotePr>
        <w:numFmt w:val="decimal"/>
      </w:endnotePr>
      <w:pgSz w:w="11906" w:h="16838"/>
      <w:pgMar w:top="1417" w:right="1417" w:bottom="1417" w:left="1417" w:header="1134" w:footer="0" w:gutter="0"/>
      <w:cols w:space="720"/>
      <w:docGrid w:type="linesAndChars" w:linePitch="388"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3D" w:rsidRDefault="0094193D">
      <w:pPr>
        <w:spacing w:before="327"/>
      </w:pPr>
      <w:r>
        <w:continuationSeparator/>
      </w:r>
    </w:p>
  </w:endnote>
  <w:endnote w:type="continuationSeparator" w:id="0">
    <w:p w:rsidR="0094193D" w:rsidRDefault="0094193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俵俽僑僔僢僋">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3D" w:rsidRDefault="0094193D">
      <w:pPr>
        <w:spacing w:before="327"/>
      </w:pPr>
      <w:r>
        <w:continuationSeparator/>
      </w:r>
    </w:p>
  </w:footnote>
  <w:footnote w:type="continuationSeparator" w:id="0">
    <w:p w:rsidR="0094193D" w:rsidRDefault="0094193D">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1008"/>
  <w:hyphenationZone w:val="0"/>
  <w:drawingGridHorizontalSpacing w:val="444"/>
  <w:drawingGridVerticalSpacing w:val="38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45"/>
    <w:rsid w:val="001A256E"/>
    <w:rsid w:val="0037320E"/>
    <w:rsid w:val="003F322F"/>
    <w:rsid w:val="005703A5"/>
    <w:rsid w:val="00612280"/>
    <w:rsid w:val="008370D2"/>
    <w:rsid w:val="0094193D"/>
    <w:rsid w:val="00993B57"/>
    <w:rsid w:val="00A52926"/>
    <w:rsid w:val="00AE4549"/>
    <w:rsid w:val="00AF1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280"/>
    <w:pPr>
      <w:tabs>
        <w:tab w:val="center" w:pos="4252"/>
        <w:tab w:val="right" w:pos="8504"/>
      </w:tabs>
      <w:snapToGrid w:val="0"/>
    </w:pPr>
  </w:style>
  <w:style w:type="character" w:customStyle="1" w:styleId="a4">
    <w:name w:val="ヘッダー (文字)"/>
    <w:link w:val="a3"/>
    <w:uiPriority w:val="99"/>
    <w:rsid w:val="00612280"/>
    <w:rPr>
      <w:rFonts w:eastAsia="ＭＳ ゴシック"/>
      <w:color w:val="000000"/>
      <w:sz w:val="24"/>
    </w:rPr>
  </w:style>
  <w:style w:type="paragraph" w:styleId="a5">
    <w:name w:val="footer"/>
    <w:basedOn w:val="a"/>
    <w:link w:val="a6"/>
    <w:uiPriority w:val="99"/>
    <w:unhideWhenUsed/>
    <w:rsid w:val="00612280"/>
    <w:pPr>
      <w:tabs>
        <w:tab w:val="center" w:pos="4252"/>
        <w:tab w:val="right" w:pos="8504"/>
      </w:tabs>
      <w:snapToGrid w:val="0"/>
    </w:pPr>
  </w:style>
  <w:style w:type="character" w:customStyle="1" w:styleId="a6">
    <w:name w:val="フッター (文字)"/>
    <w:link w:val="a5"/>
    <w:uiPriority w:val="99"/>
    <w:rsid w:val="00612280"/>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2023-02-22T04:45:00Z</dcterms:created>
  <dcterms:modified xsi:type="dcterms:W3CDTF">2023-02-22T04:45:00Z</dcterms:modified>
</cp:coreProperties>
</file>