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9B1C9" w14:textId="77777777" w:rsidR="00CB50E5" w:rsidRDefault="00CB50E5">
      <w:pPr>
        <w:spacing w:line="451" w:lineRule="exact"/>
        <w:ind w:left="481" w:hanging="481"/>
        <w:jc w:val="center"/>
        <w:rPr>
          <w:rFonts w:ascii="ＭＳ 明朝" w:hAnsi="ＭＳ 明朝" w:hint="default"/>
          <w:b/>
          <w:color w:val="auto"/>
          <w:sz w:val="28"/>
        </w:rPr>
      </w:pPr>
    </w:p>
    <w:p w14:paraId="33E61B73" w14:textId="77777777" w:rsidR="00EC5C87" w:rsidRPr="009A1F5A" w:rsidRDefault="00EC5C87">
      <w:pPr>
        <w:spacing w:line="451" w:lineRule="exact"/>
        <w:ind w:left="481" w:hanging="481"/>
        <w:jc w:val="center"/>
        <w:rPr>
          <w:rFonts w:ascii="ＭＳ 明朝" w:hAnsi="ＭＳ 明朝" w:hint="default"/>
          <w:b/>
          <w:color w:val="auto"/>
          <w:sz w:val="28"/>
        </w:rPr>
      </w:pPr>
      <w:r w:rsidRPr="009A1F5A">
        <w:rPr>
          <w:rFonts w:ascii="ＭＳ 明朝" w:hAnsi="ＭＳ 明朝"/>
          <w:b/>
          <w:color w:val="auto"/>
          <w:sz w:val="28"/>
        </w:rPr>
        <w:t>群馬県放牧場受託基準</w:t>
      </w:r>
    </w:p>
    <w:p w14:paraId="1DB7E3CB" w14:textId="77777777" w:rsidR="00166855" w:rsidRPr="009A1F5A" w:rsidRDefault="00166855">
      <w:pPr>
        <w:spacing w:line="451" w:lineRule="exact"/>
        <w:ind w:left="481" w:hanging="481"/>
        <w:jc w:val="center"/>
        <w:rPr>
          <w:rFonts w:hint="default"/>
          <w:color w:val="auto"/>
        </w:rPr>
      </w:pPr>
    </w:p>
    <w:p w14:paraId="32AAB47E" w14:textId="77777777" w:rsidR="00EC5C87" w:rsidRPr="009A1F5A" w:rsidRDefault="00EC5C87">
      <w:pPr>
        <w:ind w:left="481" w:hanging="481"/>
        <w:rPr>
          <w:rFonts w:ascii="ＭＳ 明朝" w:hAnsi="ＭＳ 明朝" w:hint="default"/>
          <w:color w:val="auto"/>
        </w:rPr>
      </w:pPr>
      <w:r w:rsidRPr="009A1F5A">
        <w:rPr>
          <w:rFonts w:ascii="ＭＳ 明朝" w:hAnsi="ＭＳ 明朝"/>
          <w:color w:val="auto"/>
        </w:rPr>
        <w:t>第１　この基準は、群馬県放牧場条例施行規則第３条第６号の規定に基づき、浅間家畜育成牧場長（以下、「牧場長」という。）が放牧を受託できないもの、または継続受託できないものについて定める。</w:t>
      </w:r>
    </w:p>
    <w:p w14:paraId="59DB2621" w14:textId="77777777" w:rsidR="00166855" w:rsidRPr="009A1F5A" w:rsidRDefault="00166855">
      <w:pPr>
        <w:ind w:left="481" w:hanging="481"/>
        <w:rPr>
          <w:rFonts w:hint="default"/>
          <w:color w:val="auto"/>
        </w:rPr>
      </w:pPr>
    </w:p>
    <w:p w14:paraId="4752B075" w14:textId="77777777" w:rsidR="00EC5C87" w:rsidRPr="009A1F5A" w:rsidRDefault="00EC5C87">
      <w:pPr>
        <w:ind w:left="481" w:hanging="481"/>
        <w:rPr>
          <w:rFonts w:hint="default"/>
          <w:color w:val="auto"/>
        </w:rPr>
      </w:pPr>
      <w:r w:rsidRPr="009A1F5A">
        <w:rPr>
          <w:rFonts w:ascii="ＭＳ 明朝" w:hAnsi="ＭＳ 明朝"/>
          <w:color w:val="auto"/>
        </w:rPr>
        <w:t xml:space="preserve">第２　放牧を受託できないものは、つぎの各号に掲げるものとする。　</w:t>
      </w:r>
    </w:p>
    <w:p w14:paraId="4A4844A1" w14:textId="77777777" w:rsidR="00EC5C87" w:rsidRPr="009A1F5A" w:rsidRDefault="00EC5C87">
      <w:pPr>
        <w:rPr>
          <w:rFonts w:hint="default"/>
          <w:color w:val="auto"/>
        </w:rPr>
      </w:pPr>
      <w:r w:rsidRPr="009A1F5A">
        <w:rPr>
          <w:rFonts w:ascii="ＭＳ 明朝" w:hAnsi="ＭＳ 明朝"/>
          <w:color w:val="auto"/>
        </w:rPr>
        <w:t xml:space="preserve">　１　月齢等が下記以外のもの</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00"/>
        <w:gridCol w:w="1020"/>
        <w:gridCol w:w="1440"/>
        <w:gridCol w:w="5700"/>
      </w:tblGrid>
      <w:tr w:rsidR="00EC5C87" w:rsidRPr="009A1F5A" w14:paraId="4D7EFC98" w14:textId="77777777" w:rsidTr="00166855">
        <w:tc>
          <w:tcPr>
            <w:tcW w:w="1200" w:type="dxa"/>
            <w:tcMar>
              <w:left w:w="49" w:type="dxa"/>
              <w:right w:w="49" w:type="dxa"/>
            </w:tcMar>
          </w:tcPr>
          <w:p w14:paraId="517DC34E" w14:textId="77777777" w:rsidR="00EC5C87" w:rsidRPr="009A1F5A" w:rsidRDefault="00EC5C87" w:rsidP="00A757C4">
            <w:pPr>
              <w:jc w:val="center"/>
              <w:rPr>
                <w:rFonts w:hint="default"/>
                <w:color w:val="auto"/>
              </w:rPr>
            </w:pPr>
            <w:r w:rsidRPr="009A1F5A">
              <w:rPr>
                <w:color w:val="auto"/>
              </w:rPr>
              <w:t>受託区分</w:t>
            </w:r>
          </w:p>
        </w:tc>
        <w:tc>
          <w:tcPr>
            <w:tcW w:w="1020" w:type="dxa"/>
            <w:tcMar>
              <w:left w:w="49" w:type="dxa"/>
              <w:right w:w="49" w:type="dxa"/>
            </w:tcMar>
          </w:tcPr>
          <w:p w14:paraId="60BA79F9" w14:textId="77777777" w:rsidR="00EC5C87" w:rsidRPr="009A1F5A" w:rsidRDefault="00EC5C87" w:rsidP="00A757C4">
            <w:pPr>
              <w:jc w:val="center"/>
              <w:rPr>
                <w:rFonts w:hint="default"/>
                <w:color w:val="auto"/>
              </w:rPr>
            </w:pPr>
            <w:r w:rsidRPr="009A1F5A">
              <w:rPr>
                <w:color w:val="auto"/>
              </w:rPr>
              <w:t>品種</w:t>
            </w:r>
          </w:p>
        </w:tc>
        <w:tc>
          <w:tcPr>
            <w:tcW w:w="1440" w:type="dxa"/>
            <w:tcMar>
              <w:left w:w="49" w:type="dxa"/>
              <w:right w:w="49" w:type="dxa"/>
            </w:tcMar>
          </w:tcPr>
          <w:p w14:paraId="6CE64236" w14:textId="77777777" w:rsidR="00EC5C87" w:rsidRPr="009A1F5A" w:rsidRDefault="00EC5C87" w:rsidP="00A757C4">
            <w:pPr>
              <w:jc w:val="center"/>
              <w:rPr>
                <w:rFonts w:hint="default"/>
                <w:color w:val="auto"/>
              </w:rPr>
            </w:pPr>
            <w:r w:rsidRPr="009A1F5A">
              <w:rPr>
                <w:color w:val="auto"/>
              </w:rPr>
              <w:t>入牧区分</w:t>
            </w:r>
          </w:p>
        </w:tc>
        <w:tc>
          <w:tcPr>
            <w:tcW w:w="5700" w:type="dxa"/>
            <w:tcMar>
              <w:left w:w="49" w:type="dxa"/>
              <w:right w:w="49" w:type="dxa"/>
            </w:tcMar>
          </w:tcPr>
          <w:p w14:paraId="5886FC04" w14:textId="77777777" w:rsidR="00EC5C87" w:rsidRPr="00522D8F" w:rsidRDefault="007E320D" w:rsidP="00A757C4">
            <w:pPr>
              <w:jc w:val="center"/>
              <w:rPr>
                <w:rFonts w:hint="default"/>
                <w:color w:val="auto"/>
              </w:rPr>
            </w:pPr>
            <w:r w:rsidRPr="00522D8F">
              <w:rPr>
                <w:color w:val="auto"/>
              </w:rPr>
              <w:t>入牧月齢</w:t>
            </w:r>
          </w:p>
        </w:tc>
      </w:tr>
      <w:tr w:rsidR="00166855" w:rsidRPr="009A1F5A" w14:paraId="4101F8CE" w14:textId="77777777" w:rsidTr="00166855">
        <w:tc>
          <w:tcPr>
            <w:tcW w:w="1200" w:type="dxa"/>
            <w:tcMar>
              <w:left w:w="49" w:type="dxa"/>
              <w:right w:w="49" w:type="dxa"/>
            </w:tcMar>
          </w:tcPr>
          <w:p w14:paraId="1BAD3694" w14:textId="77777777" w:rsidR="00166855" w:rsidRPr="009A1F5A" w:rsidRDefault="00166855" w:rsidP="00CB50E5">
            <w:pPr>
              <w:jc w:val="center"/>
              <w:rPr>
                <w:rFonts w:hint="default"/>
                <w:color w:val="auto"/>
              </w:rPr>
            </w:pPr>
            <w:r w:rsidRPr="009A1F5A">
              <w:rPr>
                <w:color w:val="auto"/>
              </w:rPr>
              <w:t>年間牛</w:t>
            </w:r>
          </w:p>
        </w:tc>
        <w:tc>
          <w:tcPr>
            <w:tcW w:w="1020" w:type="dxa"/>
            <w:tcMar>
              <w:left w:w="49" w:type="dxa"/>
              <w:right w:w="49" w:type="dxa"/>
            </w:tcMar>
          </w:tcPr>
          <w:p w14:paraId="5F1379B2" w14:textId="77777777" w:rsidR="00166855" w:rsidRPr="009A1F5A" w:rsidRDefault="00166855" w:rsidP="00CB50E5">
            <w:pPr>
              <w:jc w:val="center"/>
              <w:rPr>
                <w:rFonts w:hint="default"/>
                <w:color w:val="auto"/>
              </w:rPr>
            </w:pPr>
            <w:r w:rsidRPr="009A1F5A">
              <w:rPr>
                <w:color w:val="auto"/>
              </w:rPr>
              <w:t>乳用牛</w:t>
            </w:r>
          </w:p>
        </w:tc>
        <w:tc>
          <w:tcPr>
            <w:tcW w:w="1440" w:type="dxa"/>
            <w:tcMar>
              <w:left w:w="49" w:type="dxa"/>
              <w:right w:w="49" w:type="dxa"/>
            </w:tcMar>
          </w:tcPr>
          <w:p w14:paraId="093088C5" w14:textId="77777777" w:rsidR="00166855" w:rsidRPr="009A1F5A" w:rsidRDefault="00166855" w:rsidP="00166855">
            <w:pPr>
              <w:jc w:val="center"/>
              <w:rPr>
                <w:rFonts w:hint="default"/>
                <w:color w:val="auto"/>
              </w:rPr>
            </w:pPr>
            <w:r w:rsidRPr="009A1F5A">
              <w:rPr>
                <w:color w:val="auto"/>
              </w:rPr>
              <w:t>毎月入牧</w:t>
            </w:r>
          </w:p>
        </w:tc>
        <w:tc>
          <w:tcPr>
            <w:tcW w:w="5700" w:type="dxa"/>
            <w:tcMar>
              <w:left w:w="49" w:type="dxa"/>
              <w:right w:w="49" w:type="dxa"/>
            </w:tcMar>
          </w:tcPr>
          <w:p w14:paraId="25FB9EA5" w14:textId="77777777" w:rsidR="00166855" w:rsidRPr="009A1F5A" w:rsidRDefault="00166855">
            <w:pPr>
              <w:rPr>
                <w:rFonts w:hint="default"/>
                <w:color w:val="auto"/>
              </w:rPr>
            </w:pPr>
            <w:r w:rsidRPr="009A1F5A">
              <w:rPr>
                <w:color w:val="auto"/>
              </w:rPr>
              <w:t xml:space="preserve"> </w:t>
            </w:r>
            <w:r w:rsidRPr="009A1F5A">
              <w:rPr>
                <w:color w:val="auto"/>
              </w:rPr>
              <w:t>入牧時</w:t>
            </w:r>
            <w:r w:rsidR="00CB50E5" w:rsidRPr="009A1F5A">
              <w:rPr>
                <w:color w:val="auto"/>
              </w:rPr>
              <w:t>おおむね</w:t>
            </w:r>
            <w:r w:rsidRPr="009A1F5A">
              <w:rPr>
                <w:color w:val="auto"/>
              </w:rPr>
              <w:t>７カ月齢</w:t>
            </w:r>
          </w:p>
        </w:tc>
      </w:tr>
    </w:tbl>
    <w:p w14:paraId="03B2E103" w14:textId="77777777" w:rsidR="00EC5C87" w:rsidRPr="009A1F5A" w:rsidRDefault="00EC5C87">
      <w:pPr>
        <w:rPr>
          <w:rFonts w:hint="default"/>
          <w:color w:val="auto"/>
        </w:rPr>
      </w:pPr>
      <w:r w:rsidRPr="009A1F5A">
        <w:rPr>
          <w:color w:val="auto"/>
        </w:rPr>
        <w:t xml:space="preserve">     </w:t>
      </w:r>
    </w:p>
    <w:p w14:paraId="006EF255" w14:textId="77777777" w:rsidR="00EC5C87" w:rsidRPr="009A1F5A" w:rsidRDefault="00EC5C87">
      <w:pPr>
        <w:ind w:left="481" w:hanging="481"/>
        <w:rPr>
          <w:rFonts w:hint="default"/>
          <w:color w:val="auto"/>
        </w:rPr>
      </w:pPr>
      <w:r w:rsidRPr="009A1F5A">
        <w:rPr>
          <w:rFonts w:ascii="ＭＳ 明朝" w:hAnsi="ＭＳ 明朝"/>
          <w:color w:val="auto"/>
        </w:rPr>
        <w:t xml:space="preserve">  ２　ヨーネ病、牛伝染性リンパ腫又は牛ウイルス性下痢の検査結果が陽性のもの</w:t>
      </w:r>
    </w:p>
    <w:p w14:paraId="3B5349DF" w14:textId="77777777" w:rsidR="00EC5C87" w:rsidRPr="009A1F5A" w:rsidRDefault="00EC5C87">
      <w:pPr>
        <w:ind w:left="481" w:hanging="481"/>
        <w:rPr>
          <w:rFonts w:hint="default"/>
          <w:color w:val="auto"/>
        </w:rPr>
      </w:pPr>
      <w:r w:rsidRPr="009A1F5A">
        <w:rPr>
          <w:rFonts w:ascii="ＭＳ 明朝" w:hAnsi="ＭＳ 明朝"/>
          <w:color w:val="auto"/>
        </w:rPr>
        <w:t xml:space="preserve">  ３　ホルスタイン種にあって（一社）日本ホルスタイン登録協会が定める標準発育値の下限を</w:t>
      </w:r>
      <w:r w:rsidR="008720A4" w:rsidRPr="009A1F5A">
        <w:rPr>
          <w:rFonts w:ascii="ＭＳ 明朝" w:hAnsi="ＭＳ 明朝"/>
          <w:color w:val="auto"/>
        </w:rPr>
        <w:t>著しく</w:t>
      </w:r>
      <w:r w:rsidRPr="009A1F5A">
        <w:rPr>
          <w:rFonts w:ascii="ＭＳ 明朝" w:hAnsi="ＭＳ 明朝"/>
          <w:color w:val="auto"/>
        </w:rPr>
        <w:t>下回るもの</w:t>
      </w:r>
    </w:p>
    <w:p w14:paraId="0545C330" w14:textId="77777777" w:rsidR="00EC5C87" w:rsidRPr="009A1F5A" w:rsidRDefault="00EC5C87">
      <w:pPr>
        <w:ind w:left="481" w:hanging="481"/>
        <w:rPr>
          <w:rFonts w:hint="default"/>
          <w:color w:val="auto"/>
        </w:rPr>
      </w:pPr>
      <w:r w:rsidRPr="009A1F5A">
        <w:rPr>
          <w:rFonts w:ascii="ＭＳ 明朝" w:hAnsi="ＭＳ 明朝"/>
          <w:color w:val="auto"/>
        </w:rPr>
        <w:t xml:space="preserve">  ４　牛伝染性鼻気管炎、牛ウイルス性下痢Ⅰ型及びⅡ型、牛パラインフルエンザ、及び牛ＲＳウイルス感染症の混合ワクチンによる予防接種を実施していないもの</w:t>
      </w:r>
    </w:p>
    <w:p w14:paraId="605DB8D7" w14:textId="77777777" w:rsidR="00EC5C87" w:rsidRPr="009A1F5A" w:rsidRDefault="00EC5C87">
      <w:pPr>
        <w:ind w:left="481" w:hanging="481"/>
        <w:rPr>
          <w:rFonts w:hint="default"/>
          <w:color w:val="auto"/>
        </w:rPr>
      </w:pPr>
      <w:r w:rsidRPr="009A1F5A">
        <w:rPr>
          <w:rFonts w:ascii="ＭＳ 明朝" w:hAnsi="ＭＳ 明朝"/>
          <w:color w:val="auto"/>
        </w:rPr>
        <w:t xml:space="preserve">  ５　（一社）日本ホルスタイン登録協会への血統登録がないもの</w:t>
      </w:r>
    </w:p>
    <w:p w14:paraId="0688F6FC" w14:textId="77777777" w:rsidR="00EC5C87" w:rsidRPr="009A1F5A" w:rsidRDefault="00EC5C87">
      <w:pPr>
        <w:ind w:left="481" w:hanging="481"/>
        <w:rPr>
          <w:rFonts w:hint="default"/>
          <w:color w:val="auto"/>
        </w:rPr>
      </w:pPr>
      <w:r w:rsidRPr="009A1F5A">
        <w:rPr>
          <w:rFonts w:ascii="ＭＳ 明朝" w:hAnsi="ＭＳ 明朝"/>
          <w:color w:val="auto"/>
        </w:rPr>
        <w:t xml:space="preserve">　　　なお、血統登録の申請中又は申請予定のものを除く。</w:t>
      </w:r>
    </w:p>
    <w:p w14:paraId="4F77E415" w14:textId="77777777" w:rsidR="00EC5C87" w:rsidRPr="009A1F5A" w:rsidRDefault="00EC5C87">
      <w:pPr>
        <w:ind w:left="481" w:hanging="481"/>
        <w:rPr>
          <w:rFonts w:hint="default"/>
          <w:color w:val="auto"/>
        </w:rPr>
      </w:pPr>
      <w:r w:rsidRPr="009A1F5A">
        <w:rPr>
          <w:rFonts w:ascii="ＭＳ 明朝" w:hAnsi="ＭＳ 明朝"/>
          <w:color w:val="auto"/>
        </w:rPr>
        <w:t xml:space="preserve">  ６　家畜共済に加入していないもの</w:t>
      </w:r>
    </w:p>
    <w:p w14:paraId="4575DEDB" w14:textId="77777777" w:rsidR="00EC5C87" w:rsidRPr="009A1F5A" w:rsidRDefault="00EC5C87">
      <w:pPr>
        <w:ind w:left="481" w:hanging="481"/>
        <w:rPr>
          <w:rFonts w:hint="default"/>
          <w:color w:val="auto"/>
        </w:rPr>
      </w:pPr>
      <w:r w:rsidRPr="009A1F5A">
        <w:rPr>
          <w:rFonts w:ascii="ＭＳ 明朝" w:hAnsi="ＭＳ 明朝"/>
          <w:color w:val="auto"/>
        </w:rPr>
        <w:t xml:space="preserve">　　　ただし、委託しようとする農家が、放牧に起因する損失補償を請求しないことを条件に、牧場長に放牧の受託を承認されたものを除く。</w:t>
      </w:r>
    </w:p>
    <w:p w14:paraId="55F3609B" w14:textId="77777777" w:rsidR="00EC5C87" w:rsidRPr="009A1F5A" w:rsidRDefault="00EC5C87">
      <w:pPr>
        <w:ind w:left="481" w:hanging="481"/>
        <w:rPr>
          <w:rFonts w:hint="default"/>
          <w:color w:val="auto"/>
        </w:rPr>
      </w:pPr>
      <w:r w:rsidRPr="009A1F5A">
        <w:rPr>
          <w:rFonts w:ascii="ＭＳ 明朝" w:hAnsi="ＭＳ 明朝"/>
          <w:color w:val="auto"/>
        </w:rPr>
        <w:t xml:space="preserve">  ７　削蹄</w:t>
      </w:r>
      <w:r w:rsidR="008720A4" w:rsidRPr="009A1F5A">
        <w:rPr>
          <w:rFonts w:ascii="ＭＳ 明朝" w:hAnsi="ＭＳ 明朝"/>
          <w:color w:val="auto"/>
        </w:rPr>
        <w:t>、除角</w:t>
      </w:r>
      <w:r w:rsidRPr="009A1F5A">
        <w:rPr>
          <w:rFonts w:ascii="ＭＳ 明朝" w:hAnsi="ＭＳ 明朝"/>
          <w:color w:val="auto"/>
        </w:rPr>
        <w:t>をしていないもの</w:t>
      </w:r>
    </w:p>
    <w:p w14:paraId="74CE0D78" w14:textId="77777777" w:rsidR="00EC5C87" w:rsidRDefault="00EC5C87">
      <w:pPr>
        <w:ind w:left="481" w:hanging="481"/>
        <w:rPr>
          <w:rFonts w:ascii="ＭＳ 明朝" w:hAnsi="ＭＳ 明朝" w:hint="default"/>
          <w:color w:val="auto"/>
        </w:rPr>
      </w:pPr>
      <w:r w:rsidRPr="00650666">
        <w:rPr>
          <w:rFonts w:ascii="ＭＳ 明朝" w:hAnsi="ＭＳ 明朝"/>
          <w:color w:val="auto"/>
        </w:rPr>
        <w:t xml:space="preserve">  ８　ヘルニア症、皮膚真菌症、伝染性角結膜炎、牛乳頭腫症及び外部寄生虫の寄生など疾病のあるもの</w:t>
      </w:r>
    </w:p>
    <w:p w14:paraId="1FE7BBC4" w14:textId="77777777" w:rsidR="00166855" w:rsidRPr="00650666" w:rsidRDefault="00166855">
      <w:pPr>
        <w:ind w:left="481" w:hanging="481"/>
        <w:rPr>
          <w:rFonts w:hint="default"/>
          <w:color w:val="auto"/>
        </w:rPr>
      </w:pPr>
    </w:p>
    <w:p w14:paraId="181B1BC2" w14:textId="77777777" w:rsidR="00EC5C87" w:rsidRPr="00650666" w:rsidRDefault="00EC5C87">
      <w:pPr>
        <w:ind w:left="481" w:hanging="481"/>
        <w:rPr>
          <w:rFonts w:hint="default"/>
          <w:color w:val="auto"/>
        </w:rPr>
      </w:pPr>
      <w:r w:rsidRPr="00650666">
        <w:rPr>
          <w:rFonts w:ascii="ＭＳ 明朝" w:hAnsi="ＭＳ 明朝"/>
          <w:color w:val="auto"/>
        </w:rPr>
        <w:t xml:space="preserve">第３　継続受託できないものは、つぎに掲げるものとする。　</w:t>
      </w:r>
    </w:p>
    <w:p w14:paraId="630494E0" w14:textId="77777777" w:rsidR="00EC5C87" w:rsidRDefault="00EC5C87">
      <w:pPr>
        <w:ind w:left="481" w:hanging="481"/>
        <w:rPr>
          <w:rFonts w:ascii="ＭＳ 明朝" w:hAnsi="ＭＳ 明朝" w:hint="default"/>
          <w:color w:val="auto"/>
        </w:rPr>
      </w:pPr>
      <w:r w:rsidRPr="00650666">
        <w:rPr>
          <w:rFonts w:ascii="ＭＳ 明朝" w:hAnsi="ＭＳ 明朝"/>
          <w:color w:val="auto"/>
        </w:rPr>
        <w:t xml:space="preserve">  　　受託期間中に実施する牛伝染性リンパ腫の検査において結果が陽性のもの</w:t>
      </w:r>
    </w:p>
    <w:p w14:paraId="41D04671" w14:textId="77777777" w:rsidR="00166855" w:rsidRPr="00650666" w:rsidRDefault="00166855">
      <w:pPr>
        <w:ind w:left="481" w:hanging="481"/>
        <w:rPr>
          <w:rFonts w:hint="default"/>
          <w:color w:val="auto"/>
        </w:rPr>
      </w:pPr>
    </w:p>
    <w:p w14:paraId="6E2B3A8F" w14:textId="77777777" w:rsidR="00EC5C87" w:rsidRPr="00650666" w:rsidRDefault="00EC5C87">
      <w:pPr>
        <w:ind w:left="481" w:hanging="481"/>
        <w:rPr>
          <w:rFonts w:hint="default"/>
          <w:color w:val="auto"/>
        </w:rPr>
      </w:pPr>
      <w:r w:rsidRPr="00650666">
        <w:rPr>
          <w:rFonts w:ascii="ＭＳ 明朝" w:hAnsi="ＭＳ 明朝"/>
          <w:color w:val="auto"/>
        </w:rPr>
        <w:t>第４　その他</w:t>
      </w:r>
    </w:p>
    <w:p w14:paraId="0B72742B" w14:textId="77777777" w:rsidR="00EC5C87" w:rsidRDefault="00EC5C87">
      <w:pPr>
        <w:ind w:left="481"/>
        <w:rPr>
          <w:rFonts w:hint="default"/>
        </w:rPr>
      </w:pPr>
      <w:r w:rsidRPr="00650666">
        <w:rPr>
          <w:color w:val="auto"/>
        </w:rPr>
        <w:t xml:space="preserve">  </w:t>
      </w:r>
      <w:r w:rsidRPr="00650666">
        <w:rPr>
          <w:color w:val="auto"/>
        </w:rPr>
        <w:t>第２の基準の他、入牧の適否については、その都度、牧場</w:t>
      </w:r>
      <w:r>
        <w:t>長が判断するものとする。</w:t>
      </w:r>
    </w:p>
    <w:sectPr w:rsidR="00EC5C87">
      <w:headerReference w:type="even" r:id="rId6"/>
      <w:headerReference w:type="default" r:id="rId7"/>
      <w:footnotePr>
        <w:numRestart w:val="eachPage"/>
      </w:footnotePr>
      <w:endnotePr>
        <w:numFmt w:val="decimal"/>
      </w:endnotePr>
      <w:pgSz w:w="11906" w:h="16838"/>
      <w:pgMar w:top="1417" w:right="794" w:bottom="1417" w:left="1020" w:header="567" w:footer="0" w:gutter="0"/>
      <w:cols w:space="720"/>
      <w:docGrid w:type="linesAndChars" w:linePitch="411" w:charSpace="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902D" w14:textId="77777777" w:rsidR="005B0936" w:rsidRDefault="005B0936">
      <w:pPr>
        <w:spacing w:before="327"/>
        <w:rPr>
          <w:rFonts w:hint="default"/>
        </w:rPr>
      </w:pPr>
      <w:r>
        <w:continuationSeparator/>
      </w:r>
    </w:p>
  </w:endnote>
  <w:endnote w:type="continuationSeparator" w:id="0">
    <w:p w14:paraId="041FA83A" w14:textId="77777777" w:rsidR="005B0936" w:rsidRDefault="005B0936">
      <w:pPr>
        <w:spacing w:before="327"/>
        <w:rPr>
          <w:rFonts w:hint="default"/>
        </w:rPr>
      </w:pPr>
      <w:r>
        <w:continuationSeparator/>
      </w:r>
    </w:p>
  </w:endnote>
  <w:endnote w:type="continuationNotice" w:id="1">
    <w:p w14:paraId="148AB28C" w14:textId="77777777" w:rsidR="005B0936" w:rsidRDefault="005B0936">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094E8" w14:textId="77777777" w:rsidR="005B0936" w:rsidRDefault="005B0936">
      <w:pPr>
        <w:spacing w:before="327"/>
        <w:rPr>
          <w:rFonts w:hint="default"/>
        </w:rPr>
      </w:pPr>
      <w:r>
        <w:continuationSeparator/>
      </w:r>
    </w:p>
  </w:footnote>
  <w:footnote w:type="continuationSeparator" w:id="0">
    <w:p w14:paraId="591027B2" w14:textId="77777777" w:rsidR="005B0936" w:rsidRDefault="005B0936">
      <w:pPr>
        <w:spacing w:before="327"/>
        <w:rPr>
          <w:rFonts w:hint="default"/>
        </w:rPr>
      </w:pPr>
      <w:r>
        <w:continuationSeparator/>
      </w:r>
    </w:p>
  </w:footnote>
  <w:footnote w:type="continuationNotice" w:id="1">
    <w:p w14:paraId="493E3A85" w14:textId="77777777" w:rsidR="005B0936" w:rsidRDefault="005B0936">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6DE8" w14:textId="77777777" w:rsidR="00EC5C87" w:rsidRDefault="00EC5C87">
    <w:pPr>
      <w:wordWrap w:val="0"/>
      <w:spacing w:line="287" w:lineRule="exact"/>
      <w:jc w:val="right"/>
      <w:rPr>
        <w:rFonts w:hint="default"/>
      </w:rPr>
    </w:pPr>
    <w:r>
      <w:rPr>
        <w:rFonts w:ascii="ＭＳ 明朝" w:hAnsi="ＭＳ 明朝"/>
      </w:rPr>
      <w:t>2021/12/21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2948" w14:textId="77777777" w:rsidR="009A6E35" w:rsidRDefault="009A6E35" w:rsidP="009A6E35">
    <w:pPr>
      <w:wordWrap w:val="0"/>
      <w:spacing w:line="287" w:lineRule="exact"/>
      <w:jc w:val="right"/>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1"/>
  <w:hyphenationZone w:val="0"/>
  <w:drawingGridHorizontalSpacing w:val="423"/>
  <w:drawingGridVerticalSpacing w:val="41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7C4"/>
    <w:rsid w:val="000045BE"/>
    <w:rsid w:val="000130C6"/>
    <w:rsid w:val="000311E1"/>
    <w:rsid w:val="0006058A"/>
    <w:rsid w:val="000E43D6"/>
    <w:rsid w:val="000F6F40"/>
    <w:rsid w:val="00166855"/>
    <w:rsid w:val="001B31FA"/>
    <w:rsid w:val="003441EC"/>
    <w:rsid w:val="00454EB5"/>
    <w:rsid w:val="004E1727"/>
    <w:rsid w:val="005124BE"/>
    <w:rsid w:val="00520DF4"/>
    <w:rsid w:val="00522D8F"/>
    <w:rsid w:val="00535A6F"/>
    <w:rsid w:val="005B0936"/>
    <w:rsid w:val="005C5458"/>
    <w:rsid w:val="005D5F75"/>
    <w:rsid w:val="00650666"/>
    <w:rsid w:val="006811BE"/>
    <w:rsid w:val="00767BF4"/>
    <w:rsid w:val="00797DB5"/>
    <w:rsid w:val="007D30A0"/>
    <w:rsid w:val="007E320D"/>
    <w:rsid w:val="008720A4"/>
    <w:rsid w:val="008A5C96"/>
    <w:rsid w:val="009118AD"/>
    <w:rsid w:val="009513C6"/>
    <w:rsid w:val="0096637A"/>
    <w:rsid w:val="009A1F5A"/>
    <w:rsid w:val="009A6E35"/>
    <w:rsid w:val="009C0FE5"/>
    <w:rsid w:val="00A01679"/>
    <w:rsid w:val="00A757C4"/>
    <w:rsid w:val="00B7360F"/>
    <w:rsid w:val="00C07AB8"/>
    <w:rsid w:val="00C13529"/>
    <w:rsid w:val="00CB50E5"/>
    <w:rsid w:val="00E44111"/>
    <w:rsid w:val="00EA09C6"/>
    <w:rsid w:val="00EC5C87"/>
    <w:rsid w:val="00F041A2"/>
    <w:rsid w:val="00FC7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564E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A757C4"/>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A757C4"/>
    <w:rPr>
      <w:rFonts w:ascii="游ゴシック Light" w:eastAsia="游ゴシック Light" w:hAnsi="游ゴシック Light" w:cs="Times New Roman"/>
      <w:color w:val="000000"/>
      <w:sz w:val="18"/>
      <w:szCs w:val="18"/>
    </w:rPr>
  </w:style>
  <w:style w:type="paragraph" w:styleId="a7">
    <w:name w:val="footer"/>
    <w:basedOn w:val="a"/>
    <w:link w:val="a8"/>
    <w:uiPriority w:val="99"/>
    <w:unhideWhenUsed/>
    <w:rsid w:val="009A6E35"/>
    <w:pPr>
      <w:tabs>
        <w:tab w:val="center" w:pos="4252"/>
        <w:tab w:val="right" w:pos="8504"/>
      </w:tabs>
      <w:snapToGrid w:val="0"/>
    </w:pPr>
  </w:style>
  <w:style w:type="character" w:customStyle="1" w:styleId="a8">
    <w:name w:val="フッター (文字)"/>
    <w:link w:val="a7"/>
    <w:uiPriority w:val="99"/>
    <w:rsid w:val="009A6E35"/>
    <w:rPr>
      <w:rFonts w:ascii="Times New Roman" w:hAnsi="Times New Roman"/>
      <w:color w:val="000000"/>
      <w:sz w:val="24"/>
    </w:rPr>
  </w:style>
  <w:style w:type="paragraph" w:styleId="a9">
    <w:name w:val="header"/>
    <w:basedOn w:val="a"/>
    <w:link w:val="aa"/>
    <w:uiPriority w:val="99"/>
    <w:unhideWhenUsed/>
    <w:rsid w:val="009A6E35"/>
    <w:pPr>
      <w:tabs>
        <w:tab w:val="center" w:pos="4252"/>
        <w:tab w:val="right" w:pos="8504"/>
      </w:tabs>
      <w:snapToGrid w:val="0"/>
    </w:pPr>
  </w:style>
  <w:style w:type="character" w:customStyle="1" w:styleId="aa">
    <w:name w:val="ヘッダー (文字)"/>
    <w:link w:val="a9"/>
    <w:uiPriority w:val="99"/>
    <w:rsid w:val="009A6E35"/>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2024-05-23T00:10:00Z</dcterms:created>
  <dcterms:modified xsi:type="dcterms:W3CDTF">2024-05-23T00:11:00Z</dcterms:modified>
</cp:coreProperties>
</file>